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 xml:space="preserve">3GPP TSG-RAN WG4 Meeting # 107           </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 xml:space="preserve">R4-2308592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Incheon, KR, May 22 – May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9.5.4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 on SAN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SAN</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3"/>
      <w:bookmarkStart w:id="3" w:name="OLE_LINK10"/>
      <w:bookmarkStart w:id="4" w:name="OLE_LINK14"/>
      <w:bookmarkStart w:id="5"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Based on the following agreement approved last meeting, the band number of extended L-band has been numbered as [253].</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eastAsiaTheme="minorEastAsia"/>
                <w:b/>
                <w:bCs/>
                <w:i/>
                <w:color w:val="auto"/>
                <w:highlight w:val="green"/>
                <w:lang w:val="en-US" w:eastAsia="zh-CN"/>
              </w:rPr>
            </w:pPr>
            <w:r>
              <w:rPr>
                <w:rFonts w:hint="eastAsia" w:eastAsiaTheme="minorEastAsia"/>
                <w:b/>
                <w:bCs/>
                <w:i/>
                <w:color w:val="auto"/>
                <w:highlight w:val="green"/>
                <w:lang w:val="en-US" w:eastAsia="zh-CN"/>
              </w:rPr>
              <w:t>Agreements:</w:t>
            </w:r>
          </w:p>
          <w:p>
            <w:pPr>
              <w:pStyle w:val="34"/>
              <w:numPr>
                <w:ilvl w:val="0"/>
                <w:numId w:val="3"/>
              </w:numPr>
              <w:spacing w:after="180"/>
              <w:rPr>
                <w:rFonts w:hint="eastAsia"/>
                <w:b w:val="0"/>
                <w:bCs w:val="0"/>
                <w:i w:val="0"/>
                <w:iCs w:val="0"/>
                <w:vertAlign w:val="baseline"/>
                <w:lang w:val="en-US" w:eastAsia="zh-CN"/>
              </w:rPr>
            </w:pPr>
            <w:r>
              <w:rPr>
                <w:rFonts w:eastAsiaTheme="minorEastAsia"/>
                <w:iCs/>
                <w:highlight w:val="none"/>
                <w:lang w:val="en-US" w:eastAsia="zh-CN"/>
              </w:rPr>
              <w:t>Agree on Band [253] as the band numbering.</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frequency range of extended L-band needs to be further discussed after further checking of the ECC report 263 [2].</w:t>
      </w:r>
      <w:r>
        <w:rPr>
          <w:rFonts w:hint="eastAsia"/>
          <w:b w:val="0"/>
          <w:bCs w:val="0"/>
          <w:i w:val="0"/>
          <w:iCs w:val="0"/>
          <w:highlight w:val="none"/>
          <w:lang w:val="en-US" w:eastAsia="zh-CN"/>
        </w:rPr>
        <w:t xml:space="preserve"> According to the analysis of our contribution [3]</w:t>
      </w:r>
      <w:r>
        <w:rPr>
          <w:rFonts w:hint="eastAsia"/>
          <w:b w:val="0"/>
          <w:bCs w:val="0"/>
          <w:i w:val="0"/>
          <w:iCs w:val="0"/>
          <w:lang w:val="en-US" w:eastAsia="zh-CN"/>
        </w:rPr>
        <w:t>, the extended L-band can be specified as shown in Table 2.1-1.</w:t>
      </w:r>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1521</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2.2-1.</w:t>
      </w:r>
    </w:p>
    <w:p>
      <w:pPr>
        <w:pStyle w:val="45"/>
      </w:pPr>
      <w:r>
        <w:rPr>
          <w:rFonts w:hint="eastAsia"/>
          <w:lang w:val="en-US" w:eastAsia="zh-CN"/>
        </w:rPr>
        <w:t>Table 2.2</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9"/>
        <w:gridCol w:w="1008"/>
        <w:gridCol w:w="1033"/>
        <w:gridCol w:w="1848"/>
        <w:gridCol w:w="1008"/>
        <w:gridCol w:w="839"/>
        <w:gridCol w:w="1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1055" w:type="dxa"/>
            <w:vMerge w:val="restart"/>
            <w:vAlign w:val="center"/>
          </w:tcPr>
          <w:p>
            <w:pPr>
              <w:pStyle w:val="35"/>
              <w:rPr>
                <w:rFonts w:cs="Arial"/>
              </w:rPr>
            </w:pPr>
            <w:r>
              <w:t>ΔF</w:t>
            </w:r>
            <w:r>
              <w:rPr>
                <w:vertAlign w:val="subscript"/>
              </w:rPr>
              <w:t>Raster</w:t>
            </w:r>
            <w:r>
              <w:t xml:space="preserve"> (kHz)</w:t>
            </w:r>
          </w:p>
        </w:tc>
        <w:tc>
          <w:tcPr>
            <w:tcW w:w="3969" w:type="dxa"/>
            <w:gridSpan w:val="3"/>
          </w:tcPr>
          <w:p>
            <w:pPr>
              <w:pStyle w:val="35"/>
              <w:rPr>
                <w:rFonts w:cs="Arial"/>
              </w:rPr>
            </w:pPr>
            <w:r>
              <w:rPr>
                <w:rFonts w:cs="Arial"/>
              </w:rPr>
              <w:t>Downlink</w:t>
            </w:r>
          </w:p>
        </w:tc>
        <w:tc>
          <w:tcPr>
            <w:tcW w:w="3540"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1055" w:type="dxa"/>
            <w:vMerge w:val="continue"/>
          </w:tcPr>
          <w:p>
            <w:pPr>
              <w:pStyle w:val="35"/>
              <w:rPr>
                <w:rFonts w:cs="Arial"/>
              </w:rPr>
            </w:pPr>
          </w:p>
        </w:tc>
        <w:tc>
          <w:tcPr>
            <w:tcW w:w="1134" w:type="dxa"/>
          </w:tcPr>
          <w:p>
            <w:pPr>
              <w:pStyle w:val="35"/>
              <w:rPr>
                <w:rFonts w:cs="Arial"/>
              </w:rPr>
            </w:pPr>
            <w:r>
              <w:rPr>
                <w:rFonts w:cs="Arial"/>
              </w:rPr>
              <w:t>F</w:t>
            </w:r>
            <w:r>
              <w:rPr>
                <w:rFonts w:cs="Arial"/>
                <w:vertAlign w:val="subscript"/>
              </w:rPr>
              <w:t xml:space="preserve">DL_low </w:t>
            </w:r>
            <w:r>
              <w:rPr>
                <w:rFonts w:cs="Arial"/>
              </w:rPr>
              <w:t>(MHz)</w:t>
            </w:r>
          </w:p>
        </w:tc>
        <w:tc>
          <w:tcPr>
            <w:tcW w:w="1134" w:type="dxa"/>
          </w:tcPr>
          <w:p>
            <w:pPr>
              <w:pStyle w:val="35"/>
              <w:rPr>
                <w:rFonts w:cs="Arial"/>
              </w:rPr>
            </w:pPr>
            <w:r>
              <w:rPr>
                <w:rFonts w:cs="Arial"/>
              </w:rPr>
              <w:t>N</w:t>
            </w:r>
            <w:r>
              <w:rPr>
                <w:rFonts w:cs="Arial"/>
                <w:vertAlign w:val="subscript"/>
              </w:rPr>
              <w:t>Offs-DL</w:t>
            </w:r>
          </w:p>
        </w:tc>
        <w:tc>
          <w:tcPr>
            <w:tcW w:w="1701"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134" w:type="dxa"/>
          </w:tcPr>
          <w:p>
            <w:pPr>
              <w:pStyle w:val="35"/>
              <w:rPr>
                <w:rFonts w:cs="Arial"/>
              </w:rPr>
            </w:pPr>
            <w:r>
              <w:rPr>
                <w:rFonts w:cs="Arial"/>
              </w:rPr>
              <w:t>F</w:t>
            </w:r>
            <w:r>
              <w:rPr>
                <w:rFonts w:cs="Arial"/>
                <w:vertAlign w:val="subscript"/>
              </w:rPr>
              <w:t xml:space="preserve">UL_low </w:t>
            </w:r>
            <w:r>
              <w:rPr>
                <w:rFonts w:cs="Arial"/>
              </w:rPr>
              <w:t>(MHz)</w:t>
            </w:r>
          </w:p>
        </w:tc>
        <w:tc>
          <w:tcPr>
            <w:tcW w:w="850" w:type="dxa"/>
          </w:tcPr>
          <w:p>
            <w:pPr>
              <w:pStyle w:val="35"/>
              <w:rPr>
                <w:rFonts w:cs="Arial"/>
              </w:rPr>
            </w:pPr>
            <w:r>
              <w:rPr>
                <w:rFonts w:cs="Arial"/>
              </w:rPr>
              <w:t>N</w:t>
            </w:r>
            <w:r>
              <w:rPr>
                <w:rFonts w:cs="Arial"/>
                <w:vertAlign w:val="subscript"/>
              </w:rPr>
              <w:t>Offs-UL</w:t>
            </w:r>
          </w:p>
        </w:tc>
        <w:tc>
          <w:tcPr>
            <w:tcW w:w="1556"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w:t>
            </w:r>
            <w:r>
              <w:rPr>
                <w:rFonts w:hint="eastAsia" w:eastAsia="宋体" w:cs="Arial"/>
                <w:szCs w:val="18"/>
                <w:lang w:eastAsia="zh-CN"/>
              </w:rPr>
              <w:t>253</w:t>
            </w:r>
            <w:r>
              <w:rPr>
                <w:rFonts w:hint="eastAsia" w:eastAsia="宋体" w:cs="Arial"/>
                <w:szCs w:val="18"/>
                <w:lang w:val="en-US" w:eastAsia="zh-CN"/>
              </w:rPr>
              <w:t>]</w:t>
            </w:r>
          </w:p>
        </w:tc>
        <w:tc>
          <w:tcPr>
            <w:tcW w:w="1055"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100</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1521</w:t>
            </w:r>
          </w:p>
        </w:tc>
        <w:tc>
          <w:tcPr>
            <w:tcW w:w="1134"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228531</w:t>
            </w:r>
          </w:p>
        </w:tc>
        <w:tc>
          <w:tcPr>
            <w:tcW w:w="1701"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228531-&lt;1&gt;-228570</w:t>
            </w:r>
          </w:p>
        </w:tc>
        <w:tc>
          <w:tcPr>
            <w:tcW w:w="1134" w:type="dxa"/>
            <w:vAlign w:val="top"/>
          </w:tcPr>
          <w:p>
            <w:pPr>
              <w:pStyle w:val="36"/>
              <w:rPr>
                <w:rFonts w:hint="default" w:ascii="Arial" w:hAnsi="Arial" w:eastAsia="宋体" w:cs="Arial"/>
                <w:kern w:val="0"/>
                <w:sz w:val="18"/>
                <w:szCs w:val="18"/>
                <w:lang w:val="en-US" w:eastAsia="zh-CN" w:bidi="ar-SA"/>
              </w:rPr>
            </w:pPr>
            <w:r>
              <w:rPr>
                <w:rFonts w:hint="eastAsia" w:eastAsia="宋体" w:cs="Arial"/>
                <w:szCs w:val="18"/>
                <w:lang w:val="en-US" w:eastAsia="zh-CN"/>
              </w:rPr>
              <w:t>1668</w:t>
            </w:r>
          </w:p>
        </w:tc>
        <w:tc>
          <w:tcPr>
            <w:tcW w:w="850" w:type="dxa"/>
            <w:vAlign w:val="top"/>
          </w:tcPr>
          <w:p>
            <w:pPr>
              <w:pStyle w:val="36"/>
              <w:rPr>
                <w:rFonts w:hint="default" w:ascii="Arial" w:hAnsi="Arial" w:eastAsia="宋体" w:cs="Arial"/>
                <w:kern w:val="0"/>
                <w:sz w:val="18"/>
                <w:szCs w:val="20"/>
                <w:lang w:val="en-US" w:eastAsia="zh-CN" w:bidi="ar-SA"/>
              </w:rPr>
            </w:pPr>
            <w:r>
              <w:rPr>
                <w:rFonts w:hint="eastAsia" w:eastAsia="宋体" w:cs="Arial"/>
                <w:lang w:val="en-US" w:eastAsia="zh-CN"/>
              </w:rPr>
              <w:t>261269</w:t>
            </w:r>
          </w:p>
        </w:tc>
        <w:tc>
          <w:tcPr>
            <w:tcW w:w="1556" w:type="dxa"/>
            <w:vAlign w:val="top"/>
          </w:tcPr>
          <w:p>
            <w:pPr>
              <w:pStyle w:val="36"/>
              <w:rPr>
                <w:rFonts w:hint="default" w:ascii="Arial" w:hAnsi="Arial" w:eastAsia="宋体" w:cs="Times New Roman"/>
                <w:kern w:val="0"/>
                <w:sz w:val="18"/>
                <w:szCs w:val="20"/>
                <w:lang w:val="en-US" w:eastAsia="zh-CN" w:bidi="ar-SA"/>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Extended L-band should be defined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2: </w:t>
      </w:r>
      <w:r>
        <w:rPr>
          <w:rFonts w:hint="eastAsia"/>
          <w:lang w:val="en-US" w:eastAsia="zh-CN"/>
        </w:rPr>
        <w:t>For the Extended L-band, the channel raster, carrier frequency and EARFCN can be defined as Table 2.2-1.</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4"/>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3"/>
        <w:numPr>
          <w:ilvl w:val="0"/>
          <w:numId w:val="4"/>
        </w:numPr>
      </w:pPr>
      <w:r>
        <w:rPr>
          <w:lang w:val="en-US" w:eastAsia="zh-CN"/>
        </w:rPr>
        <w:t xml:space="preserve">ECC Report 263, “Adjacent band compatibility studies between IMT operating in the frequency band 1492-1518 MHz and the MSS operating in the frequency band 1518-1552 MHz,” Approved 03 March 2017.  </w:t>
      </w:r>
      <w:r>
        <w:fldChar w:fldCharType="begin"/>
      </w:r>
      <w:r>
        <w:instrText xml:space="preserve"> HYPERLINK "https://docdb.cept.org/document/967" </w:instrText>
      </w:r>
      <w:r>
        <w:fldChar w:fldCharType="separate"/>
      </w:r>
      <w:r>
        <w:rPr>
          <w:rStyle w:val="29"/>
          <w:lang w:val="en-US" w:eastAsia="zh-CN"/>
        </w:rPr>
        <w:t>https://docdb.cept.org/document/967</w:t>
      </w:r>
      <w:r>
        <w:rPr>
          <w:rStyle w:val="29"/>
          <w:lang w:val="en-US" w:eastAsia="zh-CN"/>
        </w:rPr>
        <w:fldChar w:fldCharType="end"/>
      </w:r>
    </w:p>
    <w:p>
      <w:pPr>
        <w:pStyle w:val="53"/>
        <w:numPr>
          <w:ilvl w:val="0"/>
          <w:numId w:val="4"/>
        </w:numPr>
      </w:pPr>
      <w:r>
        <w:rPr>
          <w:rFonts w:hint="eastAsia" w:cs="Times New Roman"/>
          <w:sz w:val="20"/>
          <w:szCs w:val="20"/>
          <w:highlight w:val="none"/>
          <w:lang w:val="en-US" w:eastAsia="zh-CN"/>
        </w:rPr>
        <w:t>R4-2308590,</w:t>
      </w:r>
      <w:r>
        <w:rPr>
          <w:rFonts w:hint="default" w:cs="Times New Roman"/>
          <w:sz w:val="20"/>
          <w:szCs w:val="20"/>
          <w:highlight w:val="none"/>
          <w:lang w:val="en-US" w:eastAsia="zh-CN"/>
        </w:rPr>
        <w:t>“</w:t>
      </w:r>
      <w:r>
        <w:rPr>
          <w:rFonts w:hint="eastAsia" w:cs="Times New Roman"/>
          <w:sz w:val="20"/>
          <w:szCs w:val="20"/>
          <w:highlight w:val="none"/>
          <w:lang w:val="en-US" w:eastAsia="zh-CN"/>
        </w:rPr>
        <w:t>Discussion on UE RF requirements for the Extended L-band</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ZTE</w:t>
      </w:r>
      <w:bookmarkStart w:id="6" w:name="_GoBack"/>
      <w:bookmarkEnd w:id="6"/>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4C16130"/>
    <w:multiLevelType w:val="multilevel"/>
    <w:tmpl w:val="14C161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1C3"/>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112E1"/>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CE5EC3"/>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61452E"/>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2B0"/>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EFE20BF"/>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A7E36"/>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5C9"/>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93F0C"/>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4469F"/>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328AA"/>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67D6D"/>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2023-05-15T12:14:50Z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613B57E6FED849EEBEF10FBE29DBC11E</vt:lpwstr>
  </property>
</Properties>
</file>